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Гематология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Гематология | Записей: 1 | Кейс: 1 | Вопросов: 12</w:t>
      </w:r>
    </w:p>
    <w:p>
      <w:r>
        <w:br w:type="page"/>
      </w:r>
    </w:p>
    <w:p>
      <w:pPr>
        <w:pStyle w:val="Heading1"/>
      </w:pPr>
      <w:r>
        <w:t>Гематология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Гематология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Пациентка, 16 лет, госпитализирована в отделение онкогематологии.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слабость, повышенную утомляемость, снижение показателей в общем анализе крови.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3 месяца назад появились головные боли, слабость, повышенная утомляемость. Спустя 2,5 месяца в связи с прогрессированием вышеуказанных жалоб обратилась к участковому педиатру. При обследовании в поликлинике по месту жительства в общем анализе крови выявлены анемия (гемоглобин 53 г/л), тромбоцитопения (49 тыс/мкл), лейкопения (2.6 тыс/мкл). Консультирована гематологом, который направил пациентку на госпитализацию в отделение гематологии.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Ребенок от 3-ей беременности (1-я беременность - самопроизвольный выкидыш, 2-я беременность - мальчик, здоров), беременность протекала на фоне анемии. Родоразрешение путем кесарева сечения на сроке 39 недель. Вес при рождении 2 600 г. Раннее развитие соответственно возрасту. Профилактические прививки проводились в соответствии с Национальным календарем.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Т – 36,3°C. Состояние тяжелое, стабильное. Обращают на себя внимание мелкие черты лица, низкий рост (150 см). Вес – 42 кг. Кожные покровы бледные, чистые. Видимые слизистые бледные, умеренно влажные, чистые. Периферических отеков нет. Носовое дыхание свободное. В легких дыхание везикулярное, равномерно проводится по всем полям, хрипы не выслушиваются. ЧД - 19 в мин. Тоны сердца несколько приглушены, ритмичные, тахикардия, систолический шум на верхушке. ЧСС – 104 уд. в мин. АД – 85/55 мм рт. ст. Живот не вздут, при пальпации мягкий, безболезненный. Перистальтика выслушивается. Печень и селезенка не увеличены. Стул ежедневный, оформленный, без патологических примесей. Мочеиспускание не нарушено. Моча соломенно-желтого цвета.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Необходимыми для постановки диагноза лабораторными методы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электрофорез фракций гемоглобина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диэпоксибутановый тест (ДЭБ-тест)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общий анализ мочи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ЭМА-тест (тест с флюоресцентным красителем эозин-5-малеимид)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клинический анализ крови с подсчетом лейкоцитарной формулы и определением числа ретикулоцитов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биохимический анализ крови; диэпоксибутановый тест (ДЭБ-тест); клинический анализ крови с подсчетом лейкоцитарной формулы и определением числа ретикулоцитов</w:t>
      </w:r>
    </w:p>
    <w:p>
      <w:pPr>
        <w:ind w:left="504"/>
      </w:pPr>
      <w:r>
        <w:rPr>
          <w:b w:val="0"/>
          <w:i/>
        </w:rPr>
        <w:t>Биохимический анализ крови позволяет определить характер анемии - гемолитическая или не гемолитическая. А также исключить нарушение функции внутренних органов. +</w:t>
        <w:br/>
        <w:t>По результатам б/х анализа крови – все показатели в пределах нормы.</w:t>
        <w:br/>
        <w:br/>
        <w:t>Практическое руководство по детским болезням. Т. 4. Гематология. Онкология детского возраста/ Под ред. А.Г. Румянцева, В.Ф. Коколиной – 2004 г. Издательство Медпрактика-М. стр. 208; 439</w:t>
        <w:br/>
        <w:br/>
        <w:t>Федеральные клинические рекомендации по диагностике и лечению миелодиспластического синдрома у детей и подростков. +</w:t>
        <w:br/>
        <w:t>Код МКБ: D 46, включая D46.0 D46.1 D 46.2 D 46.3 D 46.4 D 46.7 D 46.9. +</w:t>
        <w:br/>
        <w:t>Год утверждения: 2015. Раздел 4.4 Характеристика алгоритмов и особенностей применения медицинских услуг - Диагностика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по диагностике и лечению миелодиспластического синдрома у детей и подростков. 2015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Национальные клинические рекомендации по диагностике и лечению миелодиспластических синдромов взрослых, 2018 г. +</w:t>
        <w:br/>
        <w:t>Раздел 1. Методы диагностики</w:t>
        <w:br/>
        <w:br/>
      </w:r>
      <w:hyperlink r:id="rId11">
        <w:r>
          <w:rPr>
            <w:color w:val="0F766E"/>
            <w:u w:val="single"/>
          </w:rPr>
          <w:t>Национальные клинические рекомендации по диагностике и лечению миелодиспластических синдромов взрослых, 2018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ДЭБ-тест, или тест на ломкость хромосом, является «золотым стандартом» при скрининге анемии Фанкони.</w:t>
        <w:br/>
        <w:br/>
        <w:t>Практическое руководство по детским болезням. Т. 4. Гематология. Онкология детского возраста/ Под ред. А.Г. Румянцева, В.Ф. Коколиной – 2004 г. Издательство Медпрактика-М. стр. 208; 436-440</w:t>
        <w:br/>
        <w:br/>
        <w:t>Федеральные клинические рекомендации по диагностике и лечению миелодиспластического синдрома у детей и подростков. +</w:t>
        <w:br/>
        <w:t>Код МКБ: D 46, включая D46.0 D46.1 D 46.2 D 46.3 D 46.4 D 46.7 D 46.9. +</w:t>
        <w:br/>
        <w:t>Год утверждения: 2015. Раздел 4.4 Характеристика алгоритмов и особенностей применения медицинских услуг - Диагностика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по диагностике и лечению миелодиспластического синдрома у детей и подростков. 2015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Национальные клинические рекомендации по диагностике и лечению миелодиспластических синдромов взрослых, 2018 г. +</w:t>
        <w:br/>
        <w:t>Раздел 1. Методы диагностики</w:t>
        <w:br/>
        <w:br/>
      </w:r>
      <w:hyperlink r:id="rId11">
        <w:r>
          <w:rPr>
            <w:color w:val="0F766E"/>
            <w:u w:val="single"/>
          </w:rPr>
          <w:t>Национальные клинические рекомендации по диагностике и лечению миелодиспластических синдромов взрослых, 2018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проведении дифференциальной диагностики анемий в первую очередь необходимо оценить клинический анализ крови с подсчетом лейкоцитарной формулы в мазке крови и ретикулоцитов. Это поможет сузить диагностический поиск и определить – страдают ли другие ростки кроветворения? Нет ли признаков гемобластоза? Гипер- или гипорегенераторная анемия? Макро-, нормо- или микроцитарная анемия? Нормо- или гипохромная анемия? +</w:t>
        <w:br/>
        <w:t>У данной пациентки имеет место гипорегенераторная нормоцитарная анемия, лейкопения, агранулоцитоз, тромбоцитопения.</w:t>
        <w:br/>
        <w:br/>
        <w:t>Практическое руководство по детским болезням. Т. 4. Гематология. Онкология детского возраста/ Под ред. А.Г. Румянцева, В.Ф. Коколиной – 2004 г. Издательство Медпрактика-М. стр. 208; 439</w:t>
        <w:br/>
        <w:br/>
        <w:t>Федеральные клинические рекомендации по диагностике и лечению миелодиспластического синдрома у детей и подростков. +</w:t>
        <w:br/>
        <w:t>Код МКБ: D 46, включая D46.0 D46.1 D 46.2 D 46.3 D 46.4 D 46.7 D 46.9. +</w:t>
        <w:br/>
        <w:t>Год утверждения: 2015. Раздел 4.4 Характеристика алгоритмов и особенностей применения медицинских услуг - Диагностика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по диагностике и лечению миелодиспластического синдрома у детей и подростков. 2015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Национальные клинические рекомендации по диагностике и лечению миелодиспластических синдромов взрослых, 2018 г. +</w:t>
        <w:br/>
        <w:t>Раздел 1. Методы диагностики</w:t>
        <w:br/>
        <w:br/>
      </w:r>
      <w:hyperlink r:id="rId11">
        <w:r>
          <w:rPr>
            <w:color w:val="0F766E"/>
            <w:u w:val="single"/>
          </w:rPr>
          <w:t>Национальные клинические рекомендации по диагностике и лечению миелодиспластических синдромов взрослых, 2018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лабораторных методов обследования</w:t>
      </w:r>
    </w:p>
    <w:p>
      <w:pPr>
        <w:pStyle w:val="Heading3"/>
      </w:pPr>
      <w:r>
        <w:t>3.1. Клинический анализ крови с подсчетом лейкоцитарной формулы и определением числа ретикулоцитов</w:t>
      </w:r>
    </w:p>
    <w:p>
      <w:pPr>
        <w:spacing w:after="58"/>
      </w:pPr>
      <w:r>
        <w:rPr>
          <w:b w:val="0"/>
          <w:i w:val="0"/>
        </w:rPr>
        <w:t>Лейкоциты 1,52 x 109/л (7,2 -11.7 x 109/л), нейтр. 0,09 х 109/L (1,5 – 5,17 x 109/L), Нв 67 г/л (117-149 г/л), тромбоциты 26 x 109/л (216-364 x 109/л), MCV 74,6 фл (70-86 фл), ретик. 0,01 х 1012/л (0,03 -0,09 х 1012/л) +</w:t>
        <w:br/>
        <w:t>Подсчет лейкоцитарной формулы: палочкоядерные нейтрофилы: 1%; сегментоядерные нейтрофилы: 6%; лимфоциты: 87%; моноциты: 6%;</w:t>
      </w:r>
    </w:p>
    <w:p>
      <w:pPr>
        <w:pStyle w:val="Heading3"/>
      </w:pPr>
      <w:r>
        <w:t>3.2. Биохимический анализ крови</w:t>
      </w:r>
    </w:p>
    <w:p>
      <w:pPr>
        <w:spacing w:after="58"/>
      </w:pPr>
      <w:r>
        <w:rPr>
          <w:b w:val="0"/>
          <w:i w:val="0"/>
        </w:rPr>
        <w:t>Альбумин 45 г/л (норма 38-54), общ. билирубин 12 мкмоль/л (норма 0-17), пр. билирубин 3 мкмоль/л (норма 0-3,4), АЛТ 20 Ед/л (норма 0-29), АСТ 40 Ед/л (норма 0 - 48), ЛДГ 280 Ед/л (норма 0-314), глюкоза 5,0 ммоль/л (норма 3,33 – 5,55), натрий 140 ммоль/л (норма 136-145), калий 4,0 ммоль/л (норма 3,5-5,1), креатинин 40 мкмоль/л (норма 0-42), мочевина 5 ммоль/л (2,5-6).</w:t>
      </w:r>
    </w:p>
    <w:p>
      <w:pPr>
        <w:pStyle w:val="Heading3"/>
      </w:pPr>
      <w:r>
        <w:t>3.3. Диэпоксибутановый тест (ДЭБ-тест)</w:t>
      </w:r>
    </w:p>
    <w:p>
      <w:pPr>
        <w:spacing w:after="58"/>
      </w:pPr>
      <w:r>
        <w:rPr>
          <w:b w:val="0"/>
          <w:i w:val="0"/>
        </w:rPr>
        <w:t>Положительный.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Необходимыми исследованиями для верификации диагноза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лактат сыворотки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трепанобиопсия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миелограмма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коагулограмма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цитогенетическое исследование костного мозга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исследование ПНГ-клона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трепанобиопсия; миелограмма; цитогенетическое исследование костного мозга</w:t>
      </w:r>
    </w:p>
    <w:p>
      <w:pPr>
        <w:ind w:left="504"/>
      </w:pPr>
      <w:r>
        <w:rPr>
          <w:b w:val="0"/>
          <w:i/>
        </w:rPr>
        <w:t>Учитывая возраст пациентки и анамнез заболевания, необходимо исключить миелодиспластический синдром. Диагностика миелодиспластического синдрома сложна и требует проведения комплексного обследования с обязательным полным исследованием костного мозга (морфологическое, цитогенетическое исследование, трепанобиопсия).</w:t>
        <w:br/>
        <w:br/>
        <w:t>Практическое руководство по детским болезням. Т. 4. Гематология. Онкология детского возраста/ Под ред. А.Г. Румянцева, В.Ф. Коколиной – 2004 г. Издательство Медпрактика-М. стр. 436-440</w:t>
        <w:br/>
        <w:br/>
        <w:t>Федеральные клинические рекомендации по диагностике и лечению миелодиспластического синдрома у детей и подростков. +</w:t>
        <w:br/>
        <w:t>Код МКБ: D 46, включая D46.0 D46.1 D 46.2 D 46.3 D 46.4 D 46.7 D 46.9. +</w:t>
        <w:br/>
        <w:t>Год утверждения: 2015. Раздел 4.4 Характеристика алгоритмов и особенностей применения медицинских услуг - Диагностика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по диагностике и лечению миелодиспластического синдрома у детей и подростков. 2015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Национальные клинические рекомендации по диагностике и лечению миелодиспластических синдромов взрослых, 2018 г. +</w:t>
        <w:br/>
        <w:t>Раздел 1. Методы диагностики</w:t>
        <w:br/>
        <w:br/>
      </w:r>
      <w:hyperlink r:id="rId11">
        <w:r>
          <w:rPr>
            <w:color w:val="0F766E"/>
            <w:u w:val="single"/>
          </w:rPr>
          <w:t>Национальные клинические рекомендации по диагностике и лечению миелодиспластических синдромов взрослых, 2018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Учитывая возраст пациентки и анамнез заболевания, необходимо исключить миелодиспластический синдром. Диагностика миелодиспластического синдрома сложна и требует проведения комплексного обследования с обязательным полным исследованием костного мозга (морфологическое, цитогенетическое исследование, трепанобиопсия).</w:t>
        <w:br/>
        <w:br/>
        <w:t>Практическое руководство по детским болезням. Т. 4. Гематология. Онкология детского возраста/ Под ред. А.Г. Румянцева, В.Ф. Коколиной – 2004 г. Издательство Медпрактика-М. стр. 208, 439</w:t>
        <w:br/>
        <w:br/>
        <w:t>Федеральные клинические рекомендации по диагностике и лечению миелодиспластического синдрома у детей и подростков. +</w:t>
        <w:br/>
        <w:t>Код МКБ: D 46, включая D46.0 D46.1 D 46.2 D 46.3 D 46.4 D 46.7 D 46.9. +</w:t>
        <w:br/>
        <w:t>Год утверждения: 2015. Раздел 4.4 Характеристика алгоритмов и особенностей применения медицинских услуг - Диагностика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по диагностике и лечению миелодиспластического синдрома у детей и подростков. 2015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Национальные клинические рекомендации по диагностике и лечению миелодиспластических синдромов взрослых, 2018 г. +</w:t>
        <w:br/>
        <w:t>Раздел 1. Методы диагностики</w:t>
        <w:br/>
        <w:br/>
      </w:r>
      <w:hyperlink r:id="rId11">
        <w:r>
          <w:rPr>
            <w:color w:val="0F766E"/>
            <w:u w:val="single"/>
          </w:rPr>
          <w:t>Национальные клинические рекомендации по диагностике и лечению миелодиспластических синдромов взрослых, 2018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Учитывая возраст пациентки и анамнез заболевания, необходимо исключить миелодиспластический синдром. Диагностика миелодиспластического синдрома сложна и требует проведения комплексного обследования с обязательным полным исследованием костного мозга (морфологическое, цитогенетическое исследование, трепанобиопсия).</w:t>
        <w:br/>
        <w:br/>
        <w:t>Практическое руководство по детским болезням. Т. 4. Гематология. Онкология детского возраста/ Под ред. А.Г. Румянцева, В.Ф. Коколиной – 2004 г. Издательство Медпрактика-М. стр. 436-440</w:t>
        <w:br/>
        <w:br/>
        <w:t>Федеральные клинические рекомендации по диагностике и лечению миелодиспластического синдрома у детей и подростков. +</w:t>
        <w:br/>
        <w:t>Код МКБ: D 46, включая D46.0 D46.1 D 46.2 D 46.3 D 46.4 D 46.7 D 46.9. +</w:t>
        <w:br/>
        <w:t>Год утверждения: 2015. Раздел 4.4 Характеристика алгоритмов и особенностей применения медицинских услуг - Диагностика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по диагностике и лечению миелодиспластического синдрома у детей и подростков. 2015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Национальные клинические рекомендации по диагностике и лечению миелодиспластических синдромов взрослых, 2018 г. +</w:t>
        <w:br/>
        <w:t>Раздел 1. методы диагностики, подраздел 1.4 Цитогенетика</w:t>
        <w:br/>
        <w:br/>
      </w:r>
      <w:hyperlink r:id="rId11">
        <w:r>
          <w:rPr>
            <w:color w:val="0F766E"/>
            <w:u w:val="single"/>
          </w:rPr>
          <w:t>Национальные клинические рекомендации по диагностике и лечению миелодиспластических синдромов взрослых, 2018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Миелограмма</w:t>
      </w:r>
    </w:p>
    <w:p>
      <w:pPr>
        <w:spacing w:after="58"/>
      </w:pPr>
      <w:r>
        <w:rPr>
          <w:b w:val="0"/>
          <w:i w:val="0"/>
        </w:rPr>
        <w:t>Пунктаты бедны миелокариоцитами, сходны между собой по составу, содержат умеренное количество нейтрального жира, элементы стромы. +</w:t>
        <w:br/>
        <w:t>Содержание бластных клеток повышено и составляет 14,5% и 8% по точкам соответственно, бластные клетки распределены неравномерно, имеют морфологические признаки миелоидной и моноцитарной линий дифференцировки. +</w:t>
        <w:br/>
        <w:t>При обзорном просмотре регулярно встречаются клетки макрофагально-гистиоцитарного ряда, часть с "остатками" клеточных элементов, плазматические клетки, тучные клетки. +</w:t>
        <w:br/>
        <w:t>Нейтрофильный росток сужен. +</w:t>
        <w:br/>
        <w:t>Моноцитарный росток относительно сохранен. +</w:t>
        <w:br/>
        <w:t>Лимфоидный росток значительно расширен. +</w:t>
        <w:br/>
        <w:t>Эритроидный росток относительно сохранен, эритропоэз с чертами мегалобластоидности и другими выраженными чертами диспоэза (цитоплазматические мостики, тельца Жолли, многоядерность ядер, кариорексис), индекс гемоглобинизации увеличен. +</w:t>
        <w:br/>
        <w:t>Мегакариоцитарный росток представлен единичными мкц, без видимой "отшнуровки" тромбоцитов.</w:t>
      </w:r>
    </w:p>
    <w:p>
      <w:pPr>
        <w:pStyle w:val="Heading3"/>
      </w:pPr>
      <w:r>
        <w:t>5.2. Цитогенетическое исследование костного мозга</w:t>
      </w:r>
    </w:p>
    <w:p>
      <w:pPr>
        <w:spacing w:after="58"/>
      </w:pPr>
      <w:r>
        <w:rPr>
          <w:b w:val="0"/>
          <w:i w:val="0"/>
        </w:rPr>
        <w:t>Моносомия 7.</w:t>
      </w:r>
    </w:p>
    <w:p>
      <w:pPr>
        <w:pStyle w:val="Heading3"/>
      </w:pPr>
      <w:r>
        <w:t>5.3. Трепанобиопсия</w:t>
      </w:r>
    </w:p>
    <w:p>
      <w:pPr>
        <w:spacing w:after="58"/>
      </w:pPr>
      <w:r>
        <w:rPr>
          <w:b w:val="0"/>
          <w:i w:val="0"/>
        </w:rPr>
        <w:t>Костный мозг беден, содержание бластных клеток повышено и составляет до 15%, бластные клетки распределены неравномерно, имеют морфологические признаки миелоидной и моноцитарной линий дифференцировки.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основании лабораторных и инструментальных методов обследования можно установить основной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Врожденный дискератоз, миелодиспластический синдром – рефрактерная анемия с избытком бластов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Анемия Фанкони, миелодиспластический синдром – рефрактерная анемия с избытком бластов - 2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Миелодиспластический синдром – рефрактерная анемия с избытком бластов 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Миелодиспластический синдром неклассифицируемый (MDS-U)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Анемия Фанкони, миелодиспластический синдром – рефрактерная анемия с избытком бластов - 2</w:t>
      </w:r>
    </w:p>
    <w:p>
      <w:pPr>
        <w:ind w:left="504"/>
      </w:pPr>
      <w:r>
        <w:rPr>
          <w:b w:val="0"/>
          <w:i/>
        </w:rPr>
        <w:t>По результатам проведенного обследования:</w:t>
        <w:br/>
        <w:br/>
        <w:t>- анамнез заболевания;</w:t>
        <w:br/>
        <w:br/>
        <w:t>- низкий рост и вес, мелкие черты лица;</w:t>
        <w:br/>
        <w:br/>
        <w:t>- панцитопения;</w:t>
        <w:br/>
        <w:br/>
        <w:t>- положительный ДЭБ-тест;</w:t>
        <w:br/>
        <w:br/>
        <w:t>- обедненный костный мозг, повышенное содержание бластных клеток в костном мозге (до 14,5%);</w:t>
        <w:br/>
        <w:br/>
        <w:t>- моносомия 7 хромосомы;</w:t>
        <w:br/>
        <w:br/>
        <w:t>Пациентке установлен диагноз: анемия Фанкони, миелодиспластический синдром – рефрактерная анемия с избытком бластов - 2.</w:t>
        <w:br/>
        <w:br/>
        <w:t>Практическое руководство по детским болезням. Т. 4. Гематология. Онкология детского возраста/ Под ред. А.Г. Румянцева, В.Ф. Коколиной – 2004 г. Издательство Медпрактика-М., стр. 218-225; 436-440</w:t>
        <w:br/>
        <w:br/>
        <w:t>Федеральные клинические рекомендации по диагностике и лечению миелодиспластического синдрома у детей и подростков. +</w:t>
        <w:br/>
        <w:t>Код МКБ: D 46, включая D46.0 D46.1 D 46.2 D 46.3 D 46.4 D 46.7 D 46.9. +</w:t>
        <w:br/>
        <w:t>Год утверждения: 2015. Раздел 3 Общие положения.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по диагностике и лечению миелодиспластического синдрома у детей и подростков. 2015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Раздел 4.2. Критерии и признаки, определяющие модель пациента</w:t>
        <w:br/>
        <w:br/>
      </w:r>
      <w:hyperlink r:id="rId15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(3)</w:t>
        </w:r>
      </w:hyperlink>
      <w:r>
        <w:rPr>
          <w:b w:val="0"/>
          <w:i/>
        </w:rPr>
        <w:br/>
        <w:br/>
        <w:t xml:space="preserve"> ^a| Рефрактерная анемия с избытком бластов -2 (RAEB-2) a| *  цитопения</w:t>
        <w:br/>
        <w:br/>
        <w:t>* бласты -5-19%</w:t>
        <w:br/>
        <w:br/>
        <w:t>* палочки Ауэра±</w:t>
        <w:br/>
        <w:br/>
        <w:t>* моноциты &lt; 1 тыс/мкл a| * одно - или многолинейная дисплазия</w:t>
        <w:br/>
        <w:br/>
        <w:t>* бласты 10-19%</w:t>
        <w:br/>
        <w:br/>
        <w:t>* палочки Ауэра ±</w:t>
      </w:r>
    </w:p>
    <w:p>
      <w:pPr>
        <w:pStyle w:val="Heading2"/>
      </w:pPr>
      <w:r>
        <w:t>7. Диагноз</w:t>
      </w:r>
    </w:p>
    <w:p>
      <w:pPr>
        <w:pStyle w:val="Heading3"/>
      </w:pPr>
      <w:r>
        <w:t>7.1. Анемия Фанкони, миелодиспластический синдром – рефрактерная анемия с избытком бластов - 2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миелодиспластическом синдроме также встречается хромосомная аномалия +________________+ , но в более старшем возрасте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делеция 5 хромосомы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трисомия 15 хромосомы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трисомия 21 хромосомы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моносомия 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делеция 5 хромосомы</w:t>
      </w:r>
    </w:p>
    <w:p>
      <w:pPr>
        <w:ind w:left="504"/>
      </w:pPr>
      <w:r>
        <w:rPr>
          <w:b w:val="0"/>
          <w:i/>
        </w:rPr>
        <w:t>5q-синдром встречается приблизительно в 20% при МДС у взрослых.</w:t>
        <w:br/>
        <w:br/>
        <w:t>Практическое руководство по детским болезням. Т. 4. Гематология. Онкология детского возраста/ Под ред. А.Г. Румянцева, В.Ф. Коколиной – 2004 г. Издательство Медпрактика-М. стр. 439</w:t>
        <w:br/>
        <w:br/>
        <w:t>Федеральные клинические рекомендации по диагностике и лечению миелодиспластического синдрома у детей и подростков. +</w:t>
        <w:br/>
        <w:t>Код МКБ: D 46, включая D46.0 D46.1 D 46.2 D 46.3 D 46.4 D 46.7 D 46.9. +</w:t>
        <w:br/>
        <w:t>Год утверждения: 2015. Раздел 3 Общие положения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по диагностике и лечению миелодиспластического синдрома у детей и подростков. 2015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Национальные клинические рекомендации по диагностике и лечению миелодиспластических синдромов взрослых, 2018 г. +</w:t>
        <w:br/>
        <w:t>Раздел 1. методы диагностики, подраздел 1.4 Цитогенетика</w:t>
        <w:br/>
        <w:br/>
      </w:r>
      <w:hyperlink r:id="rId11">
        <w:r>
          <w:rPr>
            <w:color w:val="0F766E"/>
            <w:u w:val="single"/>
          </w:rPr>
          <w:t>Национальные клинические рекомендации по диагностике и лечению миелодиспластических синдромов взрослых, 2018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У пациентки выявлена анемия Фанкони, миелодиспластический синдром – рефрактерная анемия с избытком бластов – 2, в связи с этим показана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курсы кладрибина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аллогенная трансплантация гемопоэтических стволовых клеток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полихимиотерапия: флударабин, цитозар, ифосфамид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сдерживающая терапия гидроксикарбамидом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аллогенная трансплантация гемопоэтических стволовых клеток</w:t>
      </w:r>
    </w:p>
    <w:p>
      <w:pPr>
        <w:ind w:left="504"/>
      </w:pPr>
      <w:r>
        <w:rPr>
          <w:b w:val="0"/>
          <w:i/>
        </w:rPr>
        <w:t>Единственной куративной опцией для пациентов с миелодиспластическим синдромом является проведение алло-ТГСК. +</w:t>
        <w:br/>
        <w:t>Необходимость проведения химиотерапии до ТГСК не доказана и не является обязательной.</w:t>
        <w:br/>
        <w:br/>
        <w:t>Практическое руководство по детским болезням. Т. 4. Гематология. Онкология детского возраста/ Под ред. А.Г. Румянцева, В.Ф. Коколиной – 2004 г. Издательство Медпрактика-М. стр.440</w:t>
        <w:br/>
        <w:br/>
        <w:t>Федеральные клинические рекомендации по диагностике и лечению миелодиспластического синдрома у детей и подростков. 2015 г.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по диагностике и лечению миелодиспластического синдрома у детей и подростков. 2015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Национальные клинические рекомендации по диагностике и лечению миелодиспластических синдромов взрослых, 2018 г. +</w:t>
        <w:br/>
        <w:t>Раздел Заключение</w:t>
        <w:br/>
        <w:br/>
      </w:r>
      <w:hyperlink r:id="rId11">
        <w:r>
          <w:rPr>
            <w:color w:val="0F766E"/>
            <w:u w:val="single"/>
          </w:rPr>
          <w:t>Национальные клинические рекомендации по диагностике и лечению миелодиспластических синдромов взрослых, 2018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сохранении трансфузионной зависимости от эритроцитсодержащих компонентов донорской крови до проведения трансплантации гемопоэтических стволовых клеток (ТГСК) следует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хелаторную терапию при достижении концентрации ферритина сыворотки выше 3000 мкг/л, либо после 20-30 трансфузии эритроцитной массы (взвеси)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хелаторы меди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хелаторную терапию после 10-20 трансфузий эритроцитсодержащих компонентов донорской крови   и/или при повышении ферритина сыворотки крови &gt; 1000 мкг/л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хелаторную терапию сразу же после первой трансфузии донорских эритроцитов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хелаторную терапию после 10-20 трансфузий эритроцитсодержащих компонентов донорской крови   и/или при повышении ферритина сыворотки крови &gt; 1000 мкг/л</w:t>
      </w:r>
    </w:p>
    <w:p>
      <w:pPr>
        <w:ind w:left="504"/>
      </w:pPr>
      <w:r>
        <w:rPr>
          <w:b w:val="0"/>
          <w:i/>
        </w:rPr>
        <w:t>Избыток железа в организме при проведении регулярных заместительных трансфузий эритроцитной массы приводит к необратимым поражениям органов и систем, в связи с чем своевременное назначение хелаторной терапии является жизненно важным для трансфузионно зависимых пациентов.</w:t>
        <w:br/>
        <w:br/>
        <w:t>Федеральные клинические рекомендации по диагностике и лечению миелодиспластического синдрома у детей и подростков. +</w:t>
        <w:br/>
        <w:t>Код МКБ: D 46, включая D46.0 D46.1 D 46.2 D 46.3 D 46.4 D 46.7 D 46.9. +</w:t>
        <w:br/>
        <w:t>Год утверждения: 2014. +</w:t>
        <w:br/>
        <w:t>Национальное общество детских гематологов и онкологов +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по диагностике и лечению миелодиспластического синдрома у детей и подростков. 2015 г.</w:t>
        </w:r>
      </w:hyperlink>
      <w:r>
        <w:rPr>
          <w:b w:val="0"/>
          <w:i/>
        </w:rPr>
        <w:br/>
        <w:br/>
        <w:t>Стандарт первичной медико-санитарной помощи детям при врожденной апластической анемии. +</w:t>
        <w:br/>
        <w:t>Год утверждения: 29.12.2012 Приказ Министерства здравоохранения РФ от 29 декабря 2012 г. N 1746н "Об утверждении стандарта первичной медико-санитарной помощи детям при врожденной апластической анемии". D61.0, D61.8 - Другие уточненные апластические анемии D61.9. Источник:</w:t>
        <w:br/>
        <w:br/>
      </w:r>
      <w:hyperlink r:id="rId21">
        <w:r>
          <w:rPr>
            <w:color w:val="0F766E"/>
            <w:u w:val="single"/>
          </w:rPr>
          <w:t>Стандарт первичной медико-санитарной помощи детям при врожденной апластической анемии, 2012 г.</w:t>
        </w:r>
      </w:hyperlink>
      <w:r>
        <w:rPr>
          <w:b w:val="0"/>
          <w:i/>
        </w:rPr>
        <w:br/>
        <w:br/>
        <w:t>Национальные клинические рекомендации по диагностике и лечению миелодиспластических синдромов взрослых, 2018 г. +</w:t>
        <w:br/>
        <w:t>Раздел 5.10 Трансфузия эритроцитов и хелаторная терапия</w:t>
        <w:br/>
        <w:br/>
      </w:r>
      <w:hyperlink r:id="rId11">
        <w:r>
          <w:rPr>
            <w:color w:val="0F766E"/>
            <w:u w:val="single"/>
          </w:rPr>
          <w:t>Национальные клинические рекомендации по диагностике и лечению миелодиспластических синдромов взрослых, 2018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Для больных с предшествующей трансфузионной терапией перед решением вопроса о сроках алло-ТГСК следует оценить признаки перегрузки железом (высокое содержание ферритина в сыворотке крови ≥ 1000 мкг/л и МРТ-признаки отложения железа в печени, сердце и других органах)</w:t>
        <w:br/>
        <w:br/>
      </w:r>
      <w:hyperlink r:id="rId11">
        <w:r>
          <w:rPr>
            <w:color w:val="0F766E"/>
            <w:u w:val="single"/>
          </w:rPr>
          <w:t>Национальные клинические рекомендации по диагностике и лечению миелодиспластических синдромов взрослых, 2018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Клинические рекомендации Миелодиспластический синдром Кодирование по Международной статистической классификации болезней и проблем, связанных со здоровьем: D46 Возрастная группа: взрослые Год утверждения: 2020 г.</w:t>
        <w:br/>
        <w:br/>
        <w:t>Пациентам с МДС из группы низкого риска и промежуточного-1 риска по шкале IPSS и группы очень низкого, низкого и промежуточного риска по шкале IPSS-R (см. раздел 7.1 данных рекомендаций); всем кандидатам на проведение алло-ТГСК; пациентам с МДС из группы промежуточного-2 и высокого риска по шкале IPSS и из группы промежуточного, высокого и очень высокого риска по шкале IPSS-R при достижении ремиссии МДС, после трансфузии 10–20 доз донорских эритроцитов, при повышении сывороточного ферритина более 1000 нг/мл рекомендуется проведение хелаторной терапии #деферазироксом  для устранения избыточного накопления железа [67–74]</w:t>
        <w:br/>
        <w:br/>
        <w:t>Национальные клинические рекомендации Перегрузка железом: диагностика и лечение, 2018 г. +</w:t>
        <w:br/>
        <w:t>Раздел 3 Лечение</w:t>
        <w:br/>
        <w:br/>
      </w:r>
      <w:hyperlink r:id="rId24">
        <w:r>
          <w:rPr>
            <w:color w:val="0F766E"/>
            <w:u w:val="single"/>
          </w:rPr>
          <w:t>Национальные клинические рекомендации Перегрузка железом: диагностика и лечение, 2018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Рекомендуется для выявления перегрузки железом провести анализ сывороточных показателей метаболизма железа (ферритин, железо, ОЖСС, трансферрин, НТЖ)[4, 10, 13]. +</w:t>
        <w:br/>
        <w:t>Уровень убедительности рекомендаций А(уровень достоверности доказательств – 1) +</w:t>
        <w:br/>
        <w:t>Комментарии: лабораторные критерии перегрузки железом включают</w:t>
        <w:br/>
        <w:br/>
        <w:t>- стойкое повышение уровня сывороточного ферритина (свыше 1000 мкг/л) в отсутствии очевидного воспалительного, деструктивного или опухолевого процесса;</w:t>
        <w:br/>
        <w:br/>
        <w:t>- снижение уровня сывороточного трансферрина и ОЖСС,</w:t>
        <w:br/>
        <w:br/>
        <w:t>- повышение уровня сывороточного железа и коэффициента НТЖ (&gt; 60%)</w:t>
        <w:br/>
        <w:br/>
      </w:r>
      <w:hyperlink r:id="rId24">
        <w:r>
          <w:rPr>
            <w:color w:val="0F766E"/>
            <w:u w:val="single"/>
          </w:rPr>
          <w:t>НАЦИОНАЛЬНЫЕ КЛИНИЧЕСКИЕ РЕКОМЕНДАЦИИ ПЕРЕГРУЗКА ЖЕЛЕЗОМ: ДИАГНОСТИКА И ЛЕЧЕНИЕ. Рекомендации утверждены на IV Конгрессе гематологов России (апрель 2018г)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Оценка перегрузки железом для коррекции дозы хелаторной терапии проводиться по результатам исследования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сывороточного железа каждый месяц при подборе дозы хелатора, далее каждые 6 месяцев;  МРТ в режиме Т2{asterisk} миокарда и печени каждые 6-12 месяцев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ферритина сыворотки крови каждые 3 мес при подборе дозы хелатора, далее каждые 6 мес; магнитно-резонансная томографии (МРТ) в режиме Т2{asterisk} гипофиза, миокарда, печени 1 раз в год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сывороточного железа, ОЖСС, ферритина сыворотки каждые 3 мес при подборе дозы хелатора, далее каждые 6 мес., пункционной биопсии печени с исследованием количества железа в ее паренхиме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концентрации ферритина сыворотки каждый месяц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ферритина сыворотки крови каждые 3 мес при подборе дозы хелатора, далее каждые 6 мес; магнитно-резонансная томографии (МРТ) в режиме Т2{asterisk} гипофиза, миокарда, печени 1 раз в год</w:t>
      </w:r>
    </w:p>
    <w:p>
      <w:pPr>
        <w:ind w:left="504"/>
      </w:pPr>
      <w:r>
        <w:rPr>
          <w:b w:val="0"/>
          <w:i/>
        </w:rPr>
        <w:t>Ребенку, получающему ежемесячные трансфузии донорских эритроцитов, необходимо проведение комплексной оценки запасов железа - определение ферритина сыворотки, каждые 3 мес при подборе дозы хелатора, далее каждые 6 мес, проведение МРТ в режиме Т2{asterisk} гипофиза, миокарда, печени 1 раз в год; для своевременного выявления осложнений и коррекции дозы хелатора.</w:t>
        <w:br/>
        <w:br/>
        <w:t>Национальные клинические рекомендации по диагностике и лечению миелодиспластических синдромов взрослых, 2018 г. +</w:t>
        <w:br/>
        <w:t>Раздел 5.10 Трансфузия эритроцитов и хелаторная терапия</w:t>
        <w:br/>
        <w:br/>
      </w:r>
      <w:hyperlink r:id="rId11">
        <w:r>
          <w:rPr>
            <w:color w:val="0F766E"/>
            <w:u w:val="single"/>
          </w:rPr>
          <w:t>Национальные клинические рекомендации по диагностике и лечению миелодиспластических синдромов взрослых, 2018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Национальные клинические рекомендации Перегрузка железом: диагностика и лечение, 2018 г. +</w:t>
        <w:br/>
        <w:t>Раздел 3 Лечение</w:t>
        <w:br/>
        <w:br/>
      </w:r>
      <w:hyperlink r:id="rId24">
        <w:r>
          <w:rPr>
            <w:color w:val="0F766E"/>
            <w:u w:val="single"/>
          </w:rPr>
          <w:t>Национальные клинические рекомендации Перегрузка железом: диагностика и лечение, 2018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Хелаторную терапию можно отменить при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достижении верхней границы возрастной нормы содержания ферритина сыворотки крови при условии прекращения заместительной трансфузионной терапии и нормализации содержания железа в печени и миокарде, оцененных методом МРТ Т2{asterisk}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 желанию пациента или его законных представителей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сразу же после прекращения регулярных трансфузий донорских эритроцитов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 достижении верхней границы возрастной нормы содержания ферритина сыворотки крови при сохранении заместительной трансфузионной 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достижении верхней границы возрастной нормы содержания ферритина сыворотки крови при условии прекращения заместительной трансфузионной терапии и нормализации содержания железа в печени и миокарде, оцененных методом МРТ Т2{asterisk}</w:t>
      </w:r>
    </w:p>
    <w:p>
      <w:pPr>
        <w:ind w:left="504"/>
      </w:pPr>
      <w:r>
        <w:rPr>
          <w:b w:val="0"/>
          <w:i/>
        </w:rPr>
        <w:t>Прекратить хелаторную терапию нужно в случае прекращения заместительных трансфузий донорских эритроцитов и нормализации баланса железа в организме и при достижении содержания ферритина сыворотки близкой к верхней границе нормы или нормализации содержания железа во внутренних органах по данным МРТ исследования в режиме Т2{asterisk}, т.к. риск токсичности будет сильно превышать возможную пользу для пациента.</w:t>
        <w:br/>
        <w:br/>
        <w:t>Национальные клинические рекомендации Перегрузка железом: диагностика и лечение, 2018 г. +</w:t>
        <w:br/>
        <w:t>Раздел 3 Лечение</w:t>
        <w:br/>
        <w:br/>
      </w:r>
      <w:hyperlink r:id="rId24">
        <w:r>
          <w:rPr>
            <w:color w:val="0F766E"/>
            <w:u w:val="single"/>
          </w:rPr>
          <w:t>Национальные клинические рекомендации Перегрузка железом: диагностика и лечение, 2018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Brittenham GM, Badman DG. Noninvasive measurement of iron: report of an NIDDK workshop. Blood 2003; 101: 15–19. Источник:</w:t>
        <w:br/>
        <w:br/>
      </w:r>
      <w:hyperlink r:id="rId29">
        <w:r>
          <w:rPr>
            <w:color w:val="0F766E"/>
            <w:u w:val="single"/>
          </w:rPr>
          <w:t>https://www.ncbi.nlm.nih.gov/pubmed/12393526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проведения хелаторной терапии на территории Российской Федерации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деферипрон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деферазирокс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даназол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диазепам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деферазирокс</w:t>
      </w:r>
    </w:p>
    <w:p>
      <w:pPr>
        <w:ind w:left="504"/>
      </w:pPr>
      <w:r>
        <w:rPr>
          <w:b w:val="0"/>
          <w:i/>
        </w:rPr>
        <w:t>В настоящее время единственным доступным хелаторным препаратом на территории Российской Федерации является деферазирокс, согласно данным Министерства здравоохранения по регистрации лекарственных средств.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Данной пациентке применение препаратов ростовых факторов (рч-ЭПО, Г-КСФ)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 показано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показано назначение препаратов Г-КСФ и рч-ЭПО совместно при снижении нейтрофилов менее 1000 тыс/мкл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показано назначение препаратов Г-КСФ при снижении числа нейтрофилов менее 500 тыс/мкл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показано назначение препаратов Г-КСФ и рч-ЭПО совместно при снижении нейтрофилов менее 300 тыс/мкл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показано</w:t>
      </w:r>
    </w:p>
    <w:p>
      <w:pPr>
        <w:ind w:left="504"/>
      </w:pPr>
      <w:r>
        <w:rPr>
          <w:b w:val="0"/>
          <w:i/>
        </w:rPr>
        <w:t>У данной пациентки МДС развился на фоне врожденной костномозговой недостаточности, а именно анемии Фанкони, поэтому применение каких-либо ростовых факторов будет не эффективно.</w:t>
        <w:br/>
        <w:br/>
        <w:t>Практическое руководство по детским болезням. Т. 4. Гематология. Онкология детского возраста/ Под ред. А.Г. Румянцева, В.Ф. Коколиной – 2004 г. Издательство Медпрактика-М. Стр. 218</w:t>
        <w:br/>
        <w:br/>
        <w:t>Национальные клинические рекомендации по диагностике и лечению миелодиспластических синдромов взрослых, 2018 г.</w:t>
        <w:br/>
        <w:br/>
      </w:r>
      <w:hyperlink r:id="rId11">
        <w:r>
          <w:rPr>
            <w:color w:val="0F766E"/>
            <w:u w:val="single"/>
          </w:rPr>
          <w:t>Национальные клинические рекомендации по диагностике и лечению миелодиспластических синдромов взрослых, 2018 г.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появлении подозрения на развитие инфекционных осложнений наиболее информативным методом исследования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КТ синусов, грудной клетки, брюшной полости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МРТ в режиме Т2{asterisk}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ПЭТ/КТ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денситометрия позвоночника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КТ синусов, грудной клетки, брюшной полости</w:t>
      </w:r>
    </w:p>
    <w:p>
      <w:pPr>
        <w:ind w:left="504"/>
      </w:pPr>
      <w:r>
        <w:rPr>
          <w:b w:val="0"/>
          <w:i/>
        </w:rPr>
        <w:t>При длительном агранулоцитозе имеется высокий риск развития грибковых инфекций. Компьютерная томография в данной ситуации наиболее информативна.</w:t>
        <w:br/>
        <w:br/>
        <w:t>Сопроводительная терапия и контроль инфекций при гематологических заболеваниях под редакцией Румянцева А.Г., Масчана А.А., Самочатовой Е.В. Изд. М.: «Медпрактика – М», 2006.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Для проведения аллогенной трансплантации гемопоэтических стволовых клеток предпочтителен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совместимый ЦМВ-негативный неродственный донор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гаплоидентичный донор (мама или папа)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HLA-индентичный родственный или неродственный донор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HLA-совместимый сиблинг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HLA-индентичный родственный или неродственный донор</w:t>
      </w:r>
    </w:p>
    <w:p>
      <w:pPr>
        <w:ind w:left="504"/>
      </w:pPr>
      <w:r>
        <w:rPr>
          <w:b w:val="0"/>
          <w:i/>
        </w:rPr>
        <w:t>Для проведения аллогенной трансплантации гемопоэтических стволовых клеток наиболее подходящим донором является HLA-индентичный сиблинг.</w:t>
        <w:br/>
        <w:br/>
        <w:t>Национальные клинические рекомендации по диагностике и лечению миелодиспластических синдромов взрослых, 2018 г. +</w:t>
        <w:br/>
        <w:t>Раздел 5. Терапевтические стратегии.</w:t>
        <w:br/>
        <w:br/>
      </w:r>
      <w:hyperlink r:id="rId11">
        <w:r>
          <w:rPr>
            <w:color w:val="0F766E"/>
            <w:u w:val="single"/>
          </w:rPr>
          <w:t>Национальные клинические рекомендации по диагностике и лечению миелодиспластических синдромов взрослых, 2018 г.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Федеральные клинические рекомендации по диагностике и лечению миелодиспластического синдрома у детей и подростков. 2015 г.</w:t>
        <w:br/>
        <w:br/>
      </w:r>
      <w:hyperlink r:id="rId9">
        <w:r>
          <w:rPr>
            <w:color w:val="0F766E"/>
            <w:u w:val="single"/>
          </w:rPr>
          <w:t>Федеральные клинические рекомендации по диагностике и лечению миелодиспластического синдрома у детей и подростков. 2015 г.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32%20MDS%5B1%5D_4/" TargetMode="External"/><Relationship Id="rId10" Type="http://schemas.openxmlformats.org/officeDocument/2006/relationships/hyperlink" Target="https://library.mededtech.ru/rest/documents/32%20MDS%5B1%5D_4/#4_4_&#1061;&#1072;&#1088;&#1072;&#1082;&#1090;&#1077;&#1088;&#1080;&#1089;&#1090;&#1080;&#1082;&#1072;_&#1072;&#1083;&#1075;&#1086;&#1088;&#1080;&#1090;&#1084;&#1086;&#1074;_&#1080;_&#1086;&#1089;&#1086;&#1073;&#1077;&#1085;&#1085;&#1086;&#1089;&#1090;&#1077;&#1081;_&#1087;&#1088;&#1080;&#1084;&#1077;&#1085;&#1077;&#1085;&#1080;&#1103;_&#1084;&#1077;&#1076;&#1080;&#1094;&#1080;&#1085;&#1089;&#1082;&#1080;&#1093;_&#1091;&#1089;&#1083;&#1091;&#1075;" TargetMode="External"/><Relationship Id="rId11" Type="http://schemas.openxmlformats.org/officeDocument/2006/relationships/hyperlink" Target="https://library.mededtech.ru/rest/documents/428d59-904a-4f15-bc92-4d280679c2_13/" TargetMode="External"/><Relationship Id="rId12" Type="http://schemas.openxmlformats.org/officeDocument/2006/relationships/hyperlink" Target="https://library.mededtech.ru/rest/documents/428d59-904a-4f15-bc92-4d280679c2_13/#&#1056;&#1072;&#1079;&#1076;&#1077;&#1083;_1_&#1052;&#1077;&#1090;&#1086;&#1076;&#1099;_&#1076;&#1080;&#1072;&#1075;&#1085;&#1086;&#1089;&#1090;&#1080;&#1082;&#1080;" TargetMode="External"/><Relationship Id="rId13" Type="http://schemas.openxmlformats.org/officeDocument/2006/relationships/hyperlink" Target="https://library.mededtech.ru/rest/documents/428d59-904a-4f15-bc92-4d280679c2_13/#1_4_&#1062;&#1080;&#1090;&#1086;&#1075;&#1077;&#1085;&#1077;&#1090;&#1080;&#1082;&#1072;" TargetMode="External"/><Relationship Id="rId14" Type="http://schemas.openxmlformats.org/officeDocument/2006/relationships/hyperlink" Target="https://library.mededtech.ru/rest/documents/32%20MDS%5B1%5D_4/#paragraph_pa7d7n" TargetMode="External"/><Relationship Id="rId15" Type="http://schemas.openxmlformats.org/officeDocument/2006/relationships/hyperlink" Target="https://library.mededtech.ru/rest/documents/32%20MDS%5B1%5D_4/#4_2_&#1050;&#1088;&#1080;&#1090;&#1077;&#1088;&#1080;&#1080;_&#1080;_&#1087;&#1088;&#1080;&#1079;&#1085;&#1072;&#1082;&#1080;_&#1086;&#1087;&#1088;&#1077;&#1076;&#1077;&#1083;&#1103;&#1102;&#1097;&#1080;&#1077;_&#1084;&#1086;&#1076;&#1077;&#1083;&#1100;_&#1087;&#1072;&#1094;&#1080;&#1077;&#1085;&#1090;&#1072;" TargetMode="External"/><Relationship Id="rId16" Type="http://schemas.openxmlformats.org/officeDocument/2006/relationships/hyperlink" Target="https://library.mededtech.ru/rest/documents/32%20MDS%5B1%5D_4/#table_7ilccj" TargetMode="External"/><Relationship Id="rId17" Type="http://schemas.openxmlformats.org/officeDocument/2006/relationships/hyperlink" Target="https://library.mededtech.ru/rest/documents/32%20MDS%5B1%5D_4/#paragraph_lfn7so" TargetMode="External"/><Relationship Id="rId18" Type="http://schemas.openxmlformats.org/officeDocument/2006/relationships/hyperlink" Target="https://library.mededtech.ru/rest/documents/32%20MDS%5B1%5D_4/#&#1054;&#1089;&#1085;&#1086;&#1074;&#1085;&#1072;&#1103;_&#1080;&#1085;&#1092;&#1086;&#1088;&#1084;&#1072;&#1094;&#1080;&#1103;" TargetMode="External"/><Relationship Id="rId19" Type="http://schemas.openxmlformats.org/officeDocument/2006/relationships/hyperlink" Target="https://library.mededtech.ru/rest/documents/32%20MDS%5B1%5D_4/#paragraph_f1t64s" TargetMode="External"/><Relationship Id="rId20" Type="http://schemas.openxmlformats.org/officeDocument/2006/relationships/hyperlink" Target="https://library.mededtech.ru/rest/documents/428d59-904a-4f15-bc92-4d280679c2_13/#img1" TargetMode="External"/><Relationship Id="rId21" Type="http://schemas.openxmlformats.org/officeDocument/2006/relationships/hyperlink" Target="https://library.mededtech.ru/rest/documents/mcs_1746n/" TargetMode="External"/><Relationship Id="rId22" Type="http://schemas.openxmlformats.org/officeDocument/2006/relationships/hyperlink" Target="https://library.mededtech.ru/rest/documents/428d59-904a-4f15-bc92-4d280679c2_13/#5_10_&#1058;&#1088;&#1072;&#1085;&#1089;&#1092;&#1091;&#1079;&#1080;&#1103;_&#1101;&#1088;&#1080;&#1090;&#1088;&#1086;&#1094;&#1080;&#1090;&#1086;&#1074;_&#1080;_&#1093;&#1077;&#1083;&#1072;&#1090;&#1086;&#1088;&#1085;&#1072;&#1103;_&#1090;&#1077;&#1088;&#1072;&#1087;&#1080;&#1103;" TargetMode="External"/><Relationship Id="rId23" Type="http://schemas.openxmlformats.org/officeDocument/2006/relationships/hyperlink" Target="https://library.mededtech.ru/rest/documents/428d59-904a-4f15-bc92-4d280679c2_13/#paragraph_bf0p0l" TargetMode="External"/><Relationship Id="rId24" Type="http://schemas.openxmlformats.org/officeDocument/2006/relationships/hyperlink" Target="https://library.mededtech.ru/rest/documents/dc2f81-4968-4ab0-883a-0d26027f8e_11/" TargetMode="External"/><Relationship Id="rId25" Type="http://schemas.openxmlformats.org/officeDocument/2006/relationships/hyperlink" Target="https://library.mededtech.ru/rest/documents/dc2f81-4968-4ab0-883a-0d26027f8e_11/#paragraph_6gfde1" TargetMode="External"/><Relationship Id="rId26" Type="http://schemas.openxmlformats.org/officeDocument/2006/relationships/hyperlink" Target="https://library.mededtech.ru/rest/documents/dc2f81-4968-4ab0-883a-0d26027f8e_11/#&#1051;&#1072;&#1073;&#1086;&#1088;&#1072;&#1090;&#1086;&#1088;&#1085;&#1072;&#1103;_&#1080;_&#1080;&#1085;&#1089;&#1090;&#1091;&#1084;&#1077;&#1085;&#1090;&#1072;&#1083;&#1100;&#1085;&#1072;&#1103;_&#1076;&#1080;&#1072;&#1075;&#1085;&#1086;&#1089;&#1090;&#1080;&#1082;&#1072;" TargetMode="External"/><Relationship Id="rId27" Type="http://schemas.openxmlformats.org/officeDocument/2006/relationships/hyperlink" Target="https://library.mededtech.ru/rest/documents/dc2f81-4968-4ab0-883a-0d26027f8e_11/#&#1052;&#1086;&#1085;&#1080;&#1090;&#1086;&#1088;&#1080;&#1085;&#1075;_&#1087;&#1086;&#1082;&#1072;&#1079;&#1072;&#1090;&#1077;&#1083;&#1077;&#1081;_&#1086;&#1090;&#1088;&#1072;&#1078;&#1072;&#1102;&#1097;&#1080;&#1093;_&#1089;&#1090;&#1077;&#1087;&#1077;&#1085;&#1100;_&#1087;&#1077;&#1088;&#1077;&#1075;&#1088;&#1091;&#1079;&#1082;&#1080;_&#1078;&#1077;&#1083;&#1077;&#1079;&#1086;&#1084;" TargetMode="External"/><Relationship Id="rId28" Type="http://schemas.openxmlformats.org/officeDocument/2006/relationships/hyperlink" Target="https://library.mededtech.ru/rest/documents/dc2f81-4968-4ab0-883a-0d26027f8e_11/#&#1044;&#1086;&#1079;&#1099;_&#1080;_&#1076;&#1083;&#1080;&#1090;&#1077;&#1083;&#1100;&#1085;&#1086;&#1089;&#1090;&#1100;_&#1093;&#1077;&#1083;&#1072;&#1090;&#1086;&#1088;&#1085;&#1086;&#1081;_&#1090;&#1077;&#1088;&#1072;&#1087;&#1080;&#1080;" TargetMode="External"/><Relationship Id="rId29" Type="http://schemas.openxmlformats.org/officeDocument/2006/relationships/hyperlink" Target="https://www.ncbi.nlm.nih.gov/pubmed/12393526" TargetMode="External"/><Relationship Id="rId30" Type="http://schemas.openxmlformats.org/officeDocument/2006/relationships/hyperlink" Target="https://library.mededtech.ru/rest/documents/428d59-904a-4f15-bc92-4d280679c2_13/#5_6_&#1043;&#1077;&#1084;&#1086;&#1087;&#1086;&#1101;&#1090;&#1080;&#1095;&#1077;&#1089;&#1082;&#1080;&#1077;_&#1092;&#1072;&#1082;&#1090;&#1086;&#1088;&#1099;_&#1088;&#1086;&#1089;&#1090;&#1072;" TargetMode="External"/><Relationship Id="rId31" Type="http://schemas.openxmlformats.org/officeDocument/2006/relationships/hyperlink" Target="https://library.mededtech.ru/rest/documents/428d59-904a-4f15-bc92-4d280679c2_13/#5_2_2_&#1048;&#1089;&#1090;&#1086;&#1095;&#1085;&#1080;&#1082;_&#1075;&#1077;&#1084;&#1086;&#1087;&#1086;&#1101;&#1090;&#1080;&#1095;&#1077;&#1089;&#1082;&#1080;&#1093;_&#1089;&#1090;&#1074;&#1086;&#1083;&#1086;&#1074;&#1099;&#1093;_&#1082;&#1083;&#1077;&#1090;&#1086;&#1082;" TargetMode="External"/><Relationship Id="rId32" Type="http://schemas.openxmlformats.org/officeDocument/2006/relationships/hyperlink" Target="https://library.mededtech.ru/rest/documents/428d59-904a-4f15-bc92-4d280679c2_13/#5_2_&#1058;&#1088;&#1072;&#1085;&#1089;&#1087;&#1083;&#1072;&#1085;&#1090;&#1072;&#1094;&#1080;&#1103;_&#1072;&#1083;&#1083;&#1086;&#1075;&#1077;&#1085;&#1085;&#1099;&#1093;_&#1089;&#1090;&#1074;&#1086;&#1083;&#1086;&#1074;&#1099;&#1093;_&#1082;&#1083;&#1077;&#1090;&#1086;&#1082;" TargetMode="External"/><Relationship Id="rId33" Type="http://schemas.openxmlformats.org/officeDocument/2006/relationships/hyperlink" Target="https://library.mededtech.ru/rest/documents/32%20MDS%5B1%5D_4/#4_6_&#1061;&#1072;&#1088;&#1072;&#1082;&#1090;&#1077;&#1088;&#1080;&#1089;&#1090;&#1080;&#1082;&#1072;_&#1072;&#1083;&#1075;&#1086;&#1088;&#1080;&#1090;&#1084;&#1086;&#1074;_&#1080;_&#1086;&#1089;&#1086;&#1073;&#1077;&#1085;&#1085;&#1086;&#1089;&#1090;&#1077;&#1081;_&#1087;&#1088;&#1080;&#1084;&#1077;&#1085;&#1077;&#1085;&#1080;&#1103;_&#1083;&#1077;&#1082;&#1072;&#1088;&#1089;&#1090;&#1074;&#1077;&#1085;&#1085;&#1099;&#1093;_&#1089;&#1088;&#1077;&#1076;&#1089;&#1090;&#1074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